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02B72" w14:textId="77777777" w:rsidR="001E7B83" w:rsidRDefault="001E7B83" w:rsidP="006D0ADD">
      <w:pPr>
        <w:pStyle w:val="Sinespaciado"/>
        <w:pBdr>
          <w:between w:val="single" w:sz="4" w:space="1" w:color="auto"/>
          <w:bar w:val="single" w:sz="4" w:color="auto"/>
        </w:pBdr>
        <w:jc w:val="center"/>
        <w:rPr>
          <w:rFonts w:ascii="HelveticaNeueLT Std Lt Ext" w:hAnsi="HelveticaNeueLT Std Lt Ext"/>
          <w:b/>
          <w:sz w:val="20"/>
          <w:szCs w:val="20"/>
        </w:rPr>
      </w:pPr>
    </w:p>
    <w:p w14:paraId="31975FFD" w14:textId="77777777" w:rsidR="001E7B83" w:rsidRDefault="001E7B83" w:rsidP="001E7B83">
      <w:pPr>
        <w:jc w:val="both"/>
        <w:rPr>
          <w:rFonts w:ascii="HelveticaNeueLT Std" w:hAnsi="HelveticaNeueLT Std" w:cs="Arial"/>
          <w:b/>
          <w:bCs/>
          <w:color w:val="000000"/>
          <w:sz w:val="2"/>
          <w:szCs w:val="2"/>
        </w:rPr>
      </w:pPr>
    </w:p>
    <w:p w14:paraId="174A3F56" w14:textId="5D74538B" w:rsidR="001E7B83" w:rsidRDefault="001E7B83" w:rsidP="001E7B83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shd w:val="clear" w:color="auto" w:fill="C0C0C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HelveticaNeueLT Std" w:hAnsi="HelveticaNeueLT Std" w:cs="Arial"/>
          <w:b/>
          <w:bCs/>
        </w:rPr>
      </w:pPr>
      <w:r>
        <w:rPr>
          <w:rFonts w:ascii="HelveticaNeueLT Std" w:hAnsi="HelveticaNeueLT Std" w:cs="Arial"/>
          <w:b/>
          <w:bCs/>
        </w:rPr>
        <w:t>ANEXO “</w:t>
      </w:r>
      <w:r w:rsidR="00FC494C">
        <w:rPr>
          <w:rFonts w:ascii="HelveticaNeueLT Std" w:hAnsi="HelveticaNeueLT Std" w:cs="Arial"/>
          <w:b/>
          <w:bCs/>
        </w:rPr>
        <w:t>CUATRO</w:t>
      </w:r>
      <w:r>
        <w:rPr>
          <w:rFonts w:ascii="HelveticaNeueLT Std" w:hAnsi="HelveticaNeueLT Std" w:cs="Arial"/>
          <w:b/>
          <w:bCs/>
        </w:rPr>
        <w:t>”</w:t>
      </w:r>
    </w:p>
    <w:p w14:paraId="166C723A" w14:textId="77777777" w:rsidR="001E7B83" w:rsidRPr="004008FF" w:rsidRDefault="001E7B83" w:rsidP="001E7B83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shd w:val="clear" w:color="auto" w:fill="C0C0C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HelveticaNeueLT Std" w:hAnsi="HelveticaNeueLT Std" w:cs="Arial"/>
          <w:bCs/>
        </w:rPr>
      </w:pPr>
      <w:r w:rsidRPr="004008FF">
        <w:rPr>
          <w:rFonts w:ascii="HelveticaNeueLT Std" w:hAnsi="HelveticaNeueLT Std" w:cs="Arial"/>
          <w:bCs/>
        </w:rPr>
        <w:t xml:space="preserve">BASES DEL CONCURSO DE INVITACIÓN RESTRINGIDA </w:t>
      </w:r>
    </w:p>
    <w:p w14:paraId="5966E672" w14:textId="77777777" w:rsidR="001E7B83" w:rsidRDefault="001E7B83" w:rsidP="001E7B83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shd w:val="clear" w:color="auto" w:fill="C0C0C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HelveticaNeueLT Std" w:hAnsi="HelveticaNeueLT Std" w:cs="Arial"/>
          <w:b/>
          <w:bCs/>
          <w:color w:val="000000"/>
        </w:rPr>
      </w:pPr>
      <w:r w:rsidRPr="008C4785">
        <w:rPr>
          <w:rFonts w:ascii="HelveticaNeueLT Std" w:hAnsi="HelveticaNeueLT Std" w:cs="Arial"/>
          <w:b/>
          <w:bCs/>
        </w:rPr>
        <w:t>TESCHI-</w:t>
      </w:r>
      <w:r>
        <w:rPr>
          <w:rFonts w:ascii="HelveticaNeueLT Std" w:hAnsi="HelveticaNeueLT Std" w:cs="Arial"/>
          <w:b/>
          <w:bCs/>
        </w:rPr>
        <w:t>IR-</w:t>
      </w:r>
      <w:r w:rsidRPr="008C4785">
        <w:rPr>
          <w:rFonts w:ascii="HelveticaNeueLT Std" w:hAnsi="HelveticaNeueLT Std" w:cs="Arial"/>
          <w:b/>
          <w:bCs/>
        </w:rPr>
        <w:t>0</w:t>
      </w:r>
      <w:r>
        <w:rPr>
          <w:rFonts w:ascii="HelveticaNeueLT Std" w:hAnsi="HelveticaNeueLT Std" w:cs="Arial"/>
          <w:b/>
          <w:bCs/>
        </w:rPr>
        <w:t>3</w:t>
      </w:r>
      <w:r w:rsidRPr="008C4785">
        <w:rPr>
          <w:rFonts w:ascii="HelveticaNeueLT Std" w:hAnsi="HelveticaNeueLT Std" w:cs="Arial"/>
          <w:b/>
          <w:bCs/>
        </w:rPr>
        <w:t>/20</w:t>
      </w:r>
      <w:r>
        <w:rPr>
          <w:rFonts w:ascii="HelveticaNeueLT Std" w:hAnsi="HelveticaNeueLT Std" w:cs="Arial"/>
          <w:b/>
          <w:bCs/>
        </w:rPr>
        <w:t>22</w:t>
      </w:r>
      <w:r w:rsidRPr="008C4785">
        <w:rPr>
          <w:rFonts w:ascii="HelveticaNeueLT Std" w:hAnsi="HelveticaNeueLT Std" w:cs="Arial"/>
          <w:b/>
          <w:bCs/>
        </w:rPr>
        <w:t xml:space="preserve"> </w:t>
      </w:r>
      <w:r>
        <w:rPr>
          <w:rFonts w:ascii="HelveticaNeueLT Std" w:hAnsi="HelveticaNeueLT Std" w:cs="Arial"/>
          <w:b/>
          <w:bCs/>
        </w:rPr>
        <w:t xml:space="preserve"> </w:t>
      </w:r>
      <w:r w:rsidRPr="008C4785">
        <w:rPr>
          <w:rFonts w:ascii="HelveticaNeueLT Std" w:hAnsi="HelveticaNeueLT Std" w:cs="Arial"/>
          <w:b/>
          <w:bCs/>
        </w:rPr>
        <w:t xml:space="preserve">CONTRATACIÓN DEL SERVICIOS DE </w:t>
      </w:r>
      <w:r>
        <w:rPr>
          <w:rFonts w:ascii="HelveticaNeueLT Std" w:hAnsi="HelveticaNeueLT Std" w:cs="Arial"/>
          <w:b/>
          <w:bCs/>
          <w:color w:val="000000"/>
        </w:rPr>
        <w:t xml:space="preserve">INTERNET DEDICADO </w:t>
      </w:r>
    </w:p>
    <w:p w14:paraId="5BA39946" w14:textId="77777777" w:rsidR="001E7B83" w:rsidRPr="00B23E68" w:rsidRDefault="001E7B83" w:rsidP="001E7B83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4" w:color="000000"/>
        </w:pBdr>
        <w:shd w:val="clear" w:color="auto" w:fill="C0C0C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HelveticaNeueLT Std" w:hAnsi="HelveticaNeueLT Std" w:cs="Arial"/>
          <w:bCs/>
          <w:color w:val="000000"/>
          <w:sz w:val="18"/>
          <w:szCs w:val="18"/>
        </w:rPr>
      </w:pPr>
      <w:r w:rsidRPr="00B23E68">
        <w:rPr>
          <w:rFonts w:ascii="HelveticaNeueLT Std" w:hAnsi="HelveticaNeueLT Std" w:cs="Arial"/>
          <w:bCs/>
          <w:color w:val="000000"/>
        </w:rPr>
        <w:t>TECNOLÓGICO DE ESTUDIOS SUPERIORES DE CHIMALHUACÁN</w:t>
      </w:r>
    </w:p>
    <w:p w14:paraId="2E3C07EB" w14:textId="77777777" w:rsidR="001E7B83" w:rsidRDefault="001E7B83" w:rsidP="001E7B83">
      <w:pPr>
        <w:spacing w:after="0"/>
        <w:ind w:right="-63"/>
        <w:jc w:val="center"/>
        <w:rPr>
          <w:rFonts w:ascii="HelveticaNeueLT Std" w:hAnsi="HelveticaNeueLT Std" w:cs="Arial"/>
          <w:b/>
        </w:rPr>
      </w:pPr>
    </w:p>
    <w:p w14:paraId="1A0F8C62" w14:textId="47CD5BC5" w:rsidR="001E7B83" w:rsidRPr="001E7B83" w:rsidRDefault="001E7B83" w:rsidP="001E7B83">
      <w:pPr>
        <w:pStyle w:val="Sinespaciado"/>
        <w:jc w:val="center"/>
        <w:rPr>
          <w:rFonts w:ascii="HelveticaNeueLT Std Lt Ext" w:hAnsi="HelveticaNeueLT Std Lt Ext"/>
          <w:b/>
          <w:sz w:val="24"/>
          <w:szCs w:val="24"/>
        </w:rPr>
      </w:pPr>
      <w:r w:rsidRPr="001E7B83">
        <w:rPr>
          <w:rFonts w:ascii="HelveticaNeueLT Std Lt Ext" w:hAnsi="HelveticaNeueLT Std Lt Ext"/>
          <w:b/>
          <w:sz w:val="24"/>
          <w:szCs w:val="24"/>
        </w:rPr>
        <w:t>CUMPLIMIENTO AMBIENTAL</w:t>
      </w:r>
    </w:p>
    <w:p w14:paraId="61894884" w14:textId="77777777" w:rsidR="001E7B83" w:rsidRDefault="001E7B83" w:rsidP="00DC01C2">
      <w:pPr>
        <w:pStyle w:val="Sinespaciado"/>
        <w:jc w:val="right"/>
        <w:rPr>
          <w:rFonts w:ascii="HelveticaNeueLT Std Lt Ext" w:hAnsi="HelveticaNeueLT Std Lt Ext"/>
          <w:b/>
          <w:sz w:val="20"/>
          <w:szCs w:val="20"/>
        </w:rPr>
      </w:pPr>
    </w:p>
    <w:p w14:paraId="6AAFE3A4" w14:textId="77777777" w:rsidR="001E7B83" w:rsidRDefault="001E7B83" w:rsidP="00DC01C2">
      <w:pPr>
        <w:pStyle w:val="Sinespaciado"/>
        <w:jc w:val="right"/>
        <w:rPr>
          <w:rFonts w:ascii="HelveticaNeueLT Std Lt Ext" w:hAnsi="HelveticaNeueLT Std Lt Ext"/>
          <w:b/>
          <w:sz w:val="20"/>
          <w:szCs w:val="20"/>
        </w:rPr>
      </w:pPr>
    </w:p>
    <w:p w14:paraId="1555A9E0" w14:textId="77777777" w:rsidR="00112DAD" w:rsidRPr="001E7B83" w:rsidRDefault="00112DAD" w:rsidP="00DC01C2">
      <w:pPr>
        <w:pStyle w:val="Sinespaciado"/>
        <w:jc w:val="right"/>
        <w:rPr>
          <w:rFonts w:ascii="HelveticaNeueLT Std Lt Ext" w:hAnsi="HelveticaNeueLT Std Lt Ext"/>
          <w:i/>
          <w:sz w:val="20"/>
          <w:szCs w:val="20"/>
        </w:rPr>
      </w:pPr>
      <w:r w:rsidRPr="001E7B83">
        <w:rPr>
          <w:rFonts w:ascii="HelveticaNeueLT Std Lt Ext" w:hAnsi="HelveticaNeueLT Std Lt Ext"/>
          <w:i/>
          <w:sz w:val="20"/>
          <w:szCs w:val="20"/>
        </w:rPr>
        <w:t>LUGAR DE EXPEDICIÓN Y FECHA</w:t>
      </w:r>
      <w:r w:rsidR="00DC01C2" w:rsidRPr="001E7B83">
        <w:rPr>
          <w:rFonts w:ascii="HelveticaNeueLT Std Lt Ext" w:hAnsi="HelveticaNeueLT Std Lt Ext"/>
          <w:i/>
          <w:sz w:val="20"/>
          <w:szCs w:val="20"/>
        </w:rPr>
        <w:t>:</w:t>
      </w:r>
    </w:p>
    <w:p w14:paraId="52B5D81B" w14:textId="77777777" w:rsidR="00FC494C" w:rsidRDefault="00FC494C" w:rsidP="001E7B83">
      <w:pPr>
        <w:widowControl w:val="0"/>
        <w:shd w:val="clear" w:color="auto" w:fill="FFFFFF"/>
        <w:spacing w:after="0" w:line="240" w:lineRule="auto"/>
        <w:jc w:val="both"/>
        <w:rPr>
          <w:rFonts w:ascii="HelveticaNeueLT Std Lt Ext" w:eastAsia="Times New Roman" w:hAnsi="HelveticaNeueLT Std Lt Ext" w:cs="Arial"/>
          <w:b/>
          <w:sz w:val="20"/>
          <w:szCs w:val="20"/>
        </w:rPr>
      </w:pPr>
    </w:p>
    <w:p w14:paraId="68DFC4E6" w14:textId="77777777" w:rsidR="00DC01C2" w:rsidRDefault="00DC01C2" w:rsidP="001E7B83">
      <w:pPr>
        <w:widowControl w:val="0"/>
        <w:shd w:val="clear" w:color="auto" w:fill="FFFFFF"/>
        <w:spacing w:after="0" w:line="240" w:lineRule="auto"/>
        <w:jc w:val="both"/>
        <w:rPr>
          <w:rFonts w:ascii="HelveticaNeueLT Std Lt Ext" w:eastAsia="Times New Roman" w:hAnsi="HelveticaNeueLT Std Lt Ext" w:cs="Arial"/>
          <w:b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b/>
          <w:sz w:val="20"/>
          <w:szCs w:val="20"/>
        </w:rPr>
        <w:t>ENCARGADO DEL DEPARTAMENTO DE RECURSOS MATERIALES Y SERVICIOS GENERALES</w:t>
      </w:r>
    </w:p>
    <w:p w14:paraId="6B3C3A63" w14:textId="02AE26CA" w:rsidR="001E7B83" w:rsidRDefault="001E7B83" w:rsidP="001E7B83">
      <w:pPr>
        <w:widowControl w:val="0"/>
        <w:shd w:val="clear" w:color="auto" w:fill="FFFFFF"/>
        <w:spacing w:after="0" w:line="240" w:lineRule="auto"/>
        <w:jc w:val="both"/>
        <w:rPr>
          <w:rFonts w:ascii="HelveticaNeueLT Std Lt Ext" w:eastAsia="Times New Roman" w:hAnsi="HelveticaNeueLT Std Lt Ext" w:cs="Arial"/>
          <w:b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b/>
          <w:sz w:val="20"/>
          <w:szCs w:val="20"/>
        </w:rPr>
        <w:t xml:space="preserve">TECNOLÓGICO DE ESTUDIOS </w:t>
      </w:r>
      <w:r>
        <w:rPr>
          <w:rFonts w:ascii="HelveticaNeueLT Std Lt Ext" w:eastAsia="Times New Roman" w:hAnsi="HelveticaNeueLT Std Lt Ext" w:cs="Arial"/>
          <w:b/>
          <w:sz w:val="20"/>
          <w:szCs w:val="20"/>
        </w:rPr>
        <w:t>S</w:t>
      </w:r>
      <w:r w:rsidRPr="00DC01C2">
        <w:rPr>
          <w:rFonts w:ascii="HelveticaNeueLT Std Lt Ext" w:eastAsia="Times New Roman" w:hAnsi="HelveticaNeueLT Std Lt Ext" w:cs="Arial"/>
          <w:b/>
          <w:sz w:val="20"/>
          <w:szCs w:val="20"/>
        </w:rPr>
        <w:t>UPERIORES DE CHIMALHUACÁN</w:t>
      </w:r>
    </w:p>
    <w:p w14:paraId="55ECB2CB" w14:textId="77777777" w:rsidR="001E7B83" w:rsidRDefault="001E7B83" w:rsidP="001E7B83">
      <w:pPr>
        <w:widowControl w:val="0"/>
        <w:shd w:val="clear" w:color="auto" w:fill="FFFFFF"/>
        <w:spacing w:after="0" w:line="240" w:lineRule="auto"/>
        <w:jc w:val="both"/>
        <w:rPr>
          <w:rFonts w:ascii="HelveticaNeueLT Std Lt Ext" w:eastAsia="Times New Roman" w:hAnsi="HelveticaNeueLT Std Lt Ext" w:cs="Arial"/>
          <w:b/>
          <w:sz w:val="20"/>
          <w:szCs w:val="20"/>
        </w:rPr>
      </w:pPr>
    </w:p>
    <w:p w14:paraId="7493E791" w14:textId="77777777" w:rsidR="001E7B83" w:rsidRPr="00DC01C2" w:rsidRDefault="001E7B83" w:rsidP="001E7B83">
      <w:pPr>
        <w:widowControl w:val="0"/>
        <w:shd w:val="clear" w:color="auto" w:fill="FFFFFF"/>
        <w:spacing w:after="0" w:line="240" w:lineRule="auto"/>
        <w:jc w:val="both"/>
        <w:rPr>
          <w:rFonts w:ascii="HelveticaNeueLT Std Lt Ext" w:eastAsia="Times New Roman" w:hAnsi="HelveticaNeueLT Std Lt Ext" w:cs="Arial"/>
          <w:b/>
          <w:sz w:val="20"/>
          <w:szCs w:val="20"/>
        </w:rPr>
      </w:pPr>
    </w:p>
    <w:p w14:paraId="6B91A35D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sz w:val="20"/>
          <w:szCs w:val="20"/>
        </w:rPr>
        <w:t>Por este medio le informo sobre el compromiso por parte de la empresa que represento, dentro del Sector productivo del país, mi mayor interés en la protección del ambiente y los beneficios que esto trae, tanto en su producción, protección a sus empleados, cumplimiento de normas ambientales y principalmente la imagen que proyectan al mercado local y global.</w:t>
      </w:r>
    </w:p>
    <w:p w14:paraId="4D3511A2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sz w:val="20"/>
          <w:szCs w:val="20"/>
        </w:rPr>
        <w:t xml:space="preserve">Sobre </w:t>
      </w:r>
      <w:r w:rsidR="00DC01C2" w:rsidRPr="00DC01C2">
        <w:rPr>
          <w:rFonts w:ascii="HelveticaNeueLT Std Lt Ext" w:eastAsia="Times New Roman" w:hAnsi="HelveticaNeueLT Std Lt Ext" w:cs="Arial"/>
          <w:sz w:val="20"/>
          <w:szCs w:val="20"/>
        </w:rPr>
        <w:t>todo,</w:t>
      </w:r>
      <w:r w:rsidRPr="00DC01C2">
        <w:rPr>
          <w:rFonts w:ascii="HelveticaNeueLT Std Lt Ext" w:eastAsia="Times New Roman" w:hAnsi="HelveticaNeueLT Std Lt Ext" w:cs="Arial"/>
          <w:sz w:val="20"/>
          <w:szCs w:val="20"/>
        </w:rPr>
        <w:t xml:space="preserve"> en la implementación de equipos y sistemas de control de emisiones a la atmósfera; dando cumplimiento a las siguientes normas:</w:t>
      </w:r>
    </w:p>
    <w:p w14:paraId="07F24E98" w14:textId="77777777" w:rsidR="00112DAD" w:rsidRPr="00DC01C2" w:rsidRDefault="00F478B8" w:rsidP="00465931">
      <w:pPr>
        <w:shd w:val="clear" w:color="auto" w:fill="FFFFFF"/>
        <w:spacing w:line="336" w:lineRule="atLeast"/>
        <w:jc w:val="both"/>
        <w:outlineLvl w:val="1"/>
        <w:rPr>
          <w:rFonts w:ascii="HelveticaNeueLT Std Lt Ext" w:eastAsia="Times New Roman" w:hAnsi="HelveticaNeueLT Std Lt Ext" w:cs="Arial"/>
          <w:sz w:val="20"/>
          <w:szCs w:val="20"/>
        </w:rPr>
      </w:pPr>
      <w:hyperlink r:id="rId4" w:tgtFrame="_blank" w:history="1">
        <w:r w:rsidR="00DC01C2" w:rsidRPr="00465931">
          <w:rPr>
            <w:rFonts w:ascii="HelveticaNeueLT Std Lt Ext" w:eastAsia="Times New Roman" w:hAnsi="HelveticaNeueLT Std Lt Ext" w:cs="Arial"/>
            <w:b/>
            <w:sz w:val="20"/>
            <w:szCs w:val="20"/>
            <w:u w:val="single"/>
          </w:rPr>
          <w:t>1</w:t>
        </w:r>
        <w:r w:rsidR="00112DAD" w:rsidRPr="00465931">
          <w:rPr>
            <w:rFonts w:ascii="HelveticaNeueLT Std Lt Ext" w:eastAsia="Times New Roman" w:hAnsi="HelveticaNeueLT Std Lt Ext" w:cs="Arial"/>
            <w:b/>
            <w:sz w:val="20"/>
            <w:szCs w:val="20"/>
            <w:u w:val="single"/>
          </w:rPr>
          <w:t>. NOM-010-STPS-2014, Agentes químicos contaminantes del ambiente laboral – Reconocimiento, evaluación y control</w:t>
        </w:r>
        <w:r w:rsidR="00112DAD" w:rsidRPr="00DC01C2">
          <w:rPr>
            <w:rFonts w:ascii="HelveticaNeueLT Std Lt Ext" w:eastAsia="Times New Roman" w:hAnsi="HelveticaNeueLT Std Lt Ext" w:cs="Arial"/>
            <w:sz w:val="20"/>
            <w:szCs w:val="20"/>
            <w:u w:val="single"/>
          </w:rPr>
          <w:t>.</w:t>
        </w:r>
      </w:hyperlink>
    </w:p>
    <w:p w14:paraId="75BDCF6B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sz w:val="20"/>
          <w:szCs w:val="20"/>
        </w:rPr>
        <w:t>Establece los procesos y medidas para prevenir riesgos a la salud del personal ocupacionalmente expuesto a agentes químicos contaminantes del ambiente laboral. Señala los criterios de implementación de controles para revisar la calidad, cantidad y flujo de aire a suministrarse al personal.</w:t>
      </w:r>
    </w:p>
    <w:p w14:paraId="0DCB308A" w14:textId="77777777" w:rsidR="00112DAD" w:rsidRPr="00DC01C2" w:rsidRDefault="00DC01C2" w:rsidP="00112DAD">
      <w:pPr>
        <w:shd w:val="clear" w:color="auto" w:fill="FFFFFF"/>
        <w:spacing w:line="336" w:lineRule="atLeast"/>
        <w:outlineLvl w:val="1"/>
        <w:rPr>
          <w:rFonts w:ascii="HelveticaNeueLT Std Lt Ext" w:eastAsia="Times New Roman" w:hAnsi="HelveticaNeueLT Std Lt Ext" w:cs="Arial"/>
          <w:sz w:val="20"/>
          <w:szCs w:val="20"/>
        </w:rPr>
      </w:pPr>
      <w:r w:rsidRPr="00465931">
        <w:rPr>
          <w:rFonts w:ascii="HelveticaNeueLT Std Lt Ext" w:eastAsia="Times New Roman" w:hAnsi="HelveticaNeueLT Std Lt Ext" w:cs="Arial"/>
          <w:b/>
          <w:sz w:val="20"/>
          <w:szCs w:val="20"/>
        </w:rPr>
        <w:t>2</w:t>
      </w:r>
      <w:r w:rsidR="00112DAD" w:rsidRPr="00465931">
        <w:rPr>
          <w:rFonts w:ascii="HelveticaNeueLT Std Lt Ext" w:eastAsia="Times New Roman" w:hAnsi="HelveticaNeueLT Std Lt Ext" w:cs="Arial"/>
          <w:b/>
          <w:sz w:val="20"/>
          <w:szCs w:val="20"/>
        </w:rPr>
        <w:t>. NOM-85-SEMARNAT-2011, Contaminación Atmosférica-Niveles máximos permisibles de emisión de los equipos de combustión de calentamiento indirecto y su medición</w:t>
      </w:r>
      <w:r w:rsidR="00112DAD" w:rsidRPr="00DC01C2">
        <w:rPr>
          <w:rFonts w:ascii="HelveticaNeueLT Std Lt Ext" w:eastAsia="Times New Roman" w:hAnsi="HelveticaNeueLT Std Lt Ext" w:cs="Arial"/>
          <w:sz w:val="20"/>
          <w:szCs w:val="20"/>
        </w:rPr>
        <w:t>.</w:t>
      </w:r>
    </w:p>
    <w:p w14:paraId="4711CA91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sz w:val="20"/>
          <w:szCs w:val="20"/>
        </w:rPr>
        <w:t xml:space="preserve">Establece los niveles máximos permisibles de emisión de humo, partículas, monóxido de carbono (CO), bióxido de azufre (SO2) y óxidos de nitrógeno (NOx) de los equipos de combustión de calentamiento indirecto que utilizan combustibles convencionales o sus mezclas, con el fin de proteger la calidad del aire. </w:t>
      </w:r>
    </w:p>
    <w:p w14:paraId="1094EB81" w14:textId="77777777" w:rsidR="00112DAD" w:rsidRPr="00DC01C2" w:rsidRDefault="00F478B8" w:rsidP="00112DAD">
      <w:pPr>
        <w:shd w:val="clear" w:color="auto" w:fill="FFFFFF"/>
        <w:spacing w:line="336" w:lineRule="atLeast"/>
        <w:outlineLvl w:val="1"/>
        <w:rPr>
          <w:rFonts w:ascii="HelveticaNeueLT Std Lt Ext" w:eastAsia="Times New Roman" w:hAnsi="HelveticaNeueLT Std Lt Ext" w:cs="Arial"/>
          <w:sz w:val="20"/>
          <w:szCs w:val="20"/>
        </w:rPr>
      </w:pPr>
      <w:hyperlink r:id="rId5" w:history="1">
        <w:r w:rsidR="00DC01C2" w:rsidRPr="00465931">
          <w:rPr>
            <w:rFonts w:ascii="HelveticaNeueLT Std Lt Ext" w:eastAsia="Times New Roman" w:hAnsi="HelveticaNeueLT Std Lt Ext" w:cs="Arial"/>
            <w:b/>
            <w:sz w:val="20"/>
            <w:szCs w:val="20"/>
            <w:u w:val="single"/>
          </w:rPr>
          <w:t>3</w:t>
        </w:r>
        <w:r w:rsidR="00112DAD" w:rsidRPr="00465931">
          <w:rPr>
            <w:rFonts w:ascii="HelveticaNeueLT Std Lt Ext" w:eastAsia="Times New Roman" w:hAnsi="HelveticaNeueLT Std Lt Ext" w:cs="Arial"/>
            <w:b/>
            <w:sz w:val="20"/>
            <w:szCs w:val="20"/>
            <w:u w:val="single"/>
          </w:rPr>
          <w:t>. NOM-098-SEMARNAT-2002, Protección ambiental-Incineración de residuos, especificaciones de operación y límites de emisión de contaminantes</w:t>
        </w:r>
        <w:r w:rsidR="00112DAD" w:rsidRPr="00DC01C2">
          <w:rPr>
            <w:rFonts w:ascii="HelveticaNeueLT Std Lt Ext" w:eastAsia="Times New Roman" w:hAnsi="HelveticaNeueLT Std Lt Ext" w:cs="Arial"/>
            <w:sz w:val="20"/>
            <w:szCs w:val="20"/>
            <w:u w:val="single"/>
          </w:rPr>
          <w:t>.</w:t>
        </w:r>
      </w:hyperlink>
    </w:p>
    <w:p w14:paraId="3C1B6AA3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sz w:val="20"/>
          <w:szCs w:val="20"/>
        </w:rPr>
        <w:t xml:space="preserve">Establece las especificaciones de operación, así como los límites máximos permisibles de emisión de contaminantes a la atmósfera para las instalaciones de incineración de residuos. </w:t>
      </w:r>
    </w:p>
    <w:p w14:paraId="02D6C097" w14:textId="77777777" w:rsidR="00112DAD" w:rsidRPr="00DC01C2" w:rsidRDefault="00DC01C2" w:rsidP="00112DAD">
      <w:pPr>
        <w:shd w:val="clear" w:color="auto" w:fill="FFFFFF"/>
        <w:spacing w:line="336" w:lineRule="atLeast"/>
        <w:outlineLvl w:val="1"/>
        <w:rPr>
          <w:rFonts w:ascii="HelveticaNeueLT Std Lt Ext" w:eastAsia="Times New Roman" w:hAnsi="HelveticaNeueLT Std Lt Ext" w:cs="Arial"/>
          <w:sz w:val="20"/>
          <w:szCs w:val="20"/>
        </w:rPr>
      </w:pPr>
      <w:r w:rsidRPr="00465931">
        <w:rPr>
          <w:rFonts w:ascii="HelveticaNeueLT Std Lt Ext" w:eastAsia="Times New Roman" w:hAnsi="HelveticaNeueLT Std Lt Ext" w:cs="Arial"/>
          <w:b/>
          <w:sz w:val="20"/>
          <w:szCs w:val="20"/>
          <w:u w:val="single"/>
        </w:rPr>
        <w:t>4</w:t>
      </w:r>
      <w:r w:rsidR="00112DAD" w:rsidRPr="00465931">
        <w:rPr>
          <w:rFonts w:ascii="HelveticaNeueLT Std Lt Ext" w:eastAsia="Times New Roman" w:hAnsi="HelveticaNeueLT Std Lt Ext" w:cs="Arial"/>
          <w:b/>
          <w:sz w:val="20"/>
          <w:szCs w:val="20"/>
          <w:u w:val="single"/>
        </w:rPr>
        <w:t>. Normas por industria</w:t>
      </w:r>
      <w:r w:rsidR="00112DAD" w:rsidRPr="00DC01C2">
        <w:rPr>
          <w:rFonts w:ascii="HelveticaNeueLT Std Lt Ext" w:eastAsia="Times New Roman" w:hAnsi="HelveticaNeueLT Std Lt Ext" w:cs="Arial"/>
          <w:sz w:val="20"/>
          <w:szCs w:val="20"/>
        </w:rPr>
        <w:t>:</w:t>
      </w:r>
    </w:p>
    <w:p w14:paraId="03A71E60" w14:textId="77777777" w:rsidR="00112DAD" w:rsidRPr="00DC01C2" w:rsidRDefault="00112DAD" w:rsidP="00112DAD">
      <w:pPr>
        <w:shd w:val="clear" w:color="auto" w:fill="FFFFFF"/>
        <w:spacing w:after="360" w:line="240" w:lineRule="auto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b/>
          <w:bCs/>
          <w:sz w:val="20"/>
          <w:szCs w:val="20"/>
        </w:rPr>
        <w:t>   • Farmacéutica – NOM-059-SSA1-2013</w:t>
      </w:r>
    </w:p>
    <w:p w14:paraId="3D450139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sz w:val="20"/>
          <w:szCs w:val="20"/>
        </w:rPr>
        <w:t>Establece los requisitos mínimos necesarios para el proceso de fabricación de los medicamentos para uso humano comercializados en el país y/o con fines de investigación.</w:t>
      </w:r>
    </w:p>
    <w:p w14:paraId="25307122" w14:textId="77777777" w:rsidR="00FC494C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b/>
          <w:bCs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b/>
          <w:bCs/>
          <w:sz w:val="20"/>
          <w:szCs w:val="20"/>
        </w:rPr>
        <w:lastRenderedPageBreak/>
        <w:t>  </w:t>
      </w:r>
    </w:p>
    <w:p w14:paraId="5A4F2DC8" w14:textId="77777777" w:rsidR="00FC494C" w:rsidRDefault="00FC494C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b/>
          <w:bCs/>
          <w:sz w:val="20"/>
          <w:szCs w:val="20"/>
        </w:rPr>
      </w:pPr>
    </w:p>
    <w:p w14:paraId="2A9C3490" w14:textId="77777777" w:rsidR="00FC494C" w:rsidRDefault="00FC494C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b/>
          <w:bCs/>
          <w:sz w:val="20"/>
          <w:szCs w:val="20"/>
        </w:rPr>
      </w:pPr>
    </w:p>
    <w:p w14:paraId="1B4CC8F5" w14:textId="4E70D95A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b/>
          <w:bCs/>
          <w:sz w:val="20"/>
          <w:szCs w:val="20"/>
        </w:rPr>
        <w:t>  • Cemento – NOM-O40-ECOL-1993</w:t>
      </w:r>
    </w:p>
    <w:p w14:paraId="6BC620B7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sz w:val="20"/>
          <w:szCs w:val="20"/>
        </w:rPr>
        <w:t>Establece los niveles máximos permisibles de emisión a la atmósfera de partículas sólidas, así como los requisitos de control de emisiones fugitivas, provenientes de las fuentes fijas dedicadas a la fabricación de cemento.</w:t>
      </w:r>
    </w:p>
    <w:p w14:paraId="2AE1F1C9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b/>
          <w:bCs/>
          <w:sz w:val="20"/>
          <w:szCs w:val="20"/>
        </w:rPr>
        <w:t>    • Celulosa – NOM-105-ECOL-1996</w:t>
      </w:r>
    </w:p>
    <w:p w14:paraId="390575AD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sz w:val="20"/>
          <w:szCs w:val="20"/>
        </w:rPr>
        <w:t>Establece los niveles máximos permisibles de emisiones a la atmósfera de partículas sólidas totales y compuestos de azufre reducido total provenientes de los procesos de recuperación de químicos de las plantas de fabricación de celulosa.</w:t>
      </w:r>
    </w:p>
    <w:p w14:paraId="21803688" w14:textId="77777777" w:rsidR="00112DAD" w:rsidRPr="00DC01C2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b/>
          <w:bCs/>
          <w:sz w:val="20"/>
          <w:szCs w:val="20"/>
        </w:rPr>
        <w:t>    • Química (pintura) – NOM-123-ECOL-1998</w:t>
      </w:r>
    </w:p>
    <w:p w14:paraId="4EB8BA39" w14:textId="77777777" w:rsidR="00112DAD" w:rsidRDefault="00112DAD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  <w:r w:rsidRPr="00DC01C2">
        <w:rPr>
          <w:rFonts w:ascii="HelveticaNeueLT Std Lt Ext" w:eastAsia="Times New Roman" w:hAnsi="HelveticaNeueLT Std Lt Ext" w:cs="Arial"/>
          <w:sz w:val="20"/>
          <w:szCs w:val="20"/>
        </w:rPr>
        <w:t>Establece el contenido máximo permisible de compuestos orgánicos volátiles (COV’s), en la fabricación de pinturas de secado al aire base disolvente para uso doméstico y los procedimientos para la determinación del contenido de los mismos en pinturas y recubrimientos.</w:t>
      </w:r>
    </w:p>
    <w:p w14:paraId="1FCD0D1A" w14:textId="77777777" w:rsidR="00DC01C2" w:rsidRDefault="00DC01C2" w:rsidP="00DC01C2">
      <w:pPr>
        <w:shd w:val="clear" w:color="auto" w:fill="FFFFFF"/>
        <w:spacing w:after="360" w:line="240" w:lineRule="auto"/>
        <w:jc w:val="both"/>
        <w:rPr>
          <w:rFonts w:ascii="HelveticaNeueLT Std Lt Ext" w:eastAsia="Times New Roman" w:hAnsi="HelveticaNeueLT Std Lt Ext" w:cs="Arial"/>
          <w:sz w:val="20"/>
          <w:szCs w:val="20"/>
        </w:rPr>
      </w:pPr>
    </w:p>
    <w:p w14:paraId="187C639B" w14:textId="77777777" w:rsidR="00DC01C2" w:rsidRPr="006D0ADD" w:rsidRDefault="00DC01C2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b/>
          <w:sz w:val="20"/>
          <w:szCs w:val="20"/>
        </w:rPr>
      </w:pPr>
      <w:r w:rsidRPr="006D0ADD">
        <w:rPr>
          <w:rFonts w:ascii="HelveticaNeueLT Std Lt Ext" w:eastAsia="Times New Roman" w:hAnsi="HelveticaNeueLT Std Lt Ext" w:cs="Arial"/>
          <w:b/>
          <w:sz w:val="20"/>
          <w:szCs w:val="20"/>
        </w:rPr>
        <w:t>A T E N T A M E N T E</w:t>
      </w:r>
    </w:p>
    <w:p w14:paraId="3BE9B95E" w14:textId="77777777" w:rsidR="00DC01C2" w:rsidRDefault="00DC01C2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b/>
          <w:sz w:val="20"/>
          <w:szCs w:val="20"/>
        </w:rPr>
      </w:pPr>
      <w:r w:rsidRPr="000E288F">
        <w:rPr>
          <w:rFonts w:ascii="HelveticaNeueLT Std Lt Ext" w:eastAsia="Times New Roman" w:hAnsi="HelveticaNeueLT Std Lt Ext" w:cs="Arial"/>
          <w:b/>
          <w:sz w:val="18"/>
          <w:szCs w:val="20"/>
        </w:rPr>
        <w:t>NOMBRE DE LA EMPRESA</w:t>
      </w:r>
    </w:p>
    <w:p w14:paraId="767399AA" w14:textId="4BDAF7BB" w:rsidR="00B563E1" w:rsidRPr="000E288F" w:rsidRDefault="00B563E1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b/>
          <w:sz w:val="18"/>
          <w:szCs w:val="20"/>
        </w:rPr>
      </w:pPr>
      <w:r w:rsidRPr="000E288F">
        <w:rPr>
          <w:rFonts w:ascii="HelveticaNeueLT Std Lt Ext" w:eastAsia="Times New Roman" w:hAnsi="HelveticaNeueLT Std Lt Ext" w:cs="Arial"/>
          <w:b/>
          <w:sz w:val="18"/>
          <w:szCs w:val="20"/>
        </w:rPr>
        <w:t>RFC</w:t>
      </w:r>
    </w:p>
    <w:p w14:paraId="2C8D395D" w14:textId="77777777" w:rsidR="00B563E1" w:rsidRDefault="00B563E1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b/>
          <w:sz w:val="20"/>
          <w:szCs w:val="20"/>
        </w:rPr>
      </w:pPr>
    </w:p>
    <w:p w14:paraId="40DE8225" w14:textId="77777777" w:rsidR="00B563E1" w:rsidRDefault="00B563E1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b/>
          <w:sz w:val="20"/>
          <w:szCs w:val="20"/>
        </w:rPr>
      </w:pPr>
    </w:p>
    <w:p w14:paraId="3333ABB8" w14:textId="77777777" w:rsidR="00B563E1" w:rsidRDefault="00B563E1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b/>
          <w:sz w:val="20"/>
          <w:szCs w:val="20"/>
        </w:rPr>
      </w:pPr>
    </w:p>
    <w:p w14:paraId="604F895C" w14:textId="77777777" w:rsidR="00B563E1" w:rsidRDefault="00B563E1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b/>
          <w:sz w:val="20"/>
          <w:szCs w:val="20"/>
        </w:rPr>
      </w:pPr>
    </w:p>
    <w:p w14:paraId="66556E41" w14:textId="77777777" w:rsidR="00B563E1" w:rsidRPr="006D0ADD" w:rsidRDefault="00B563E1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b/>
          <w:sz w:val="20"/>
          <w:szCs w:val="20"/>
        </w:rPr>
      </w:pPr>
    </w:p>
    <w:p w14:paraId="10792524" w14:textId="5FA503A3" w:rsidR="00DC01C2" w:rsidRDefault="00DC01C2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b/>
          <w:sz w:val="20"/>
          <w:szCs w:val="20"/>
        </w:rPr>
      </w:pPr>
      <w:r w:rsidRPr="006D0ADD">
        <w:rPr>
          <w:rFonts w:ascii="HelveticaNeueLT Std Lt Ext" w:eastAsia="Times New Roman" w:hAnsi="HelveticaNeueLT Std Lt Ext" w:cs="Arial"/>
          <w:b/>
          <w:sz w:val="20"/>
          <w:szCs w:val="20"/>
        </w:rPr>
        <w:t>NOMBRE</w:t>
      </w:r>
      <w:r w:rsidR="00CE03DF">
        <w:rPr>
          <w:rFonts w:ascii="HelveticaNeueLT Std Lt Ext" w:eastAsia="Times New Roman" w:hAnsi="HelveticaNeueLT Std Lt Ext" w:cs="Arial"/>
          <w:b/>
          <w:sz w:val="20"/>
          <w:szCs w:val="20"/>
        </w:rPr>
        <w:t xml:space="preserve"> Y F</w:t>
      </w:r>
      <w:r w:rsidR="00B563E1">
        <w:rPr>
          <w:rFonts w:ascii="HelveticaNeueLT Std Lt Ext" w:eastAsia="Times New Roman" w:hAnsi="HelveticaNeueLT Std Lt Ext" w:cs="Arial"/>
          <w:b/>
          <w:sz w:val="20"/>
          <w:szCs w:val="20"/>
        </w:rPr>
        <w:t>I</w:t>
      </w:r>
      <w:r w:rsidR="00CE03DF">
        <w:rPr>
          <w:rFonts w:ascii="HelveticaNeueLT Std Lt Ext" w:eastAsia="Times New Roman" w:hAnsi="HelveticaNeueLT Std Lt Ext" w:cs="Arial"/>
          <w:b/>
          <w:sz w:val="20"/>
          <w:szCs w:val="20"/>
        </w:rPr>
        <w:t>R</w:t>
      </w:r>
      <w:r w:rsidR="00B563E1">
        <w:rPr>
          <w:rFonts w:ascii="HelveticaNeueLT Std Lt Ext" w:eastAsia="Times New Roman" w:hAnsi="HelveticaNeueLT Std Lt Ext" w:cs="Arial"/>
          <w:b/>
          <w:sz w:val="20"/>
          <w:szCs w:val="20"/>
        </w:rPr>
        <w:t>MA</w:t>
      </w:r>
      <w:r w:rsidRPr="006D0ADD">
        <w:rPr>
          <w:rFonts w:ascii="HelveticaNeueLT Std Lt Ext" w:eastAsia="Times New Roman" w:hAnsi="HelveticaNeueLT Std Lt Ext" w:cs="Arial"/>
          <w:b/>
          <w:sz w:val="20"/>
          <w:szCs w:val="20"/>
        </w:rPr>
        <w:t xml:space="preserve"> DEL REPRESENTANTE LEGAL</w:t>
      </w:r>
    </w:p>
    <w:p w14:paraId="2A5EAD35" w14:textId="1B72F14C" w:rsidR="00B563E1" w:rsidRPr="00B563E1" w:rsidRDefault="00B563E1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sz w:val="18"/>
          <w:szCs w:val="20"/>
        </w:rPr>
      </w:pPr>
      <w:r w:rsidRPr="00B563E1">
        <w:rPr>
          <w:rFonts w:ascii="HelveticaNeueLT Std Lt Ext" w:eastAsia="Times New Roman" w:hAnsi="HelveticaNeueLT Std Lt Ext" w:cs="Arial"/>
          <w:sz w:val="18"/>
          <w:szCs w:val="20"/>
        </w:rPr>
        <w:t>TELÉFONO</w:t>
      </w:r>
    </w:p>
    <w:p w14:paraId="0D278FCA" w14:textId="2C91EEF7" w:rsidR="00B563E1" w:rsidRPr="00B563E1" w:rsidRDefault="00B563E1" w:rsidP="00B563E1">
      <w:pPr>
        <w:shd w:val="clear" w:color="auto" w:fill="FFFFFF"/>
        <w:spacing w:after="0" w:line="240" w:lineRule="auto"/>
        <w:jc w:val="center"/>
        <w:rPr>
          <w:rFonts w:ascii="HelveticaNeueLT Std Lt Ext" w:eastAsia="Times New Roman" w:hAnsi="HelveticaNeueLT Std Lt Ext" w:cs="Arial"/>
          <w:sz w:val="18"/>
          <w:szCs w:val="20"/>
        </w:rPr>
      </w:pPr>
      <w:r w:rsidRPr="00B563E1">
        <w:rPr>
          <w:rFonts w:ascii="HelveticaNeueLT Std Lt Ext" w:eastAsia="Times New Roman" w:hAnsi="HelveticaNeueLT Std Lt Ext" w:cs="Arial"/>
          <w:sz w:val="18"/>
          <w:szCs w:val="20"/>
        </w:rPr>
        <w:t>CORREO ELECTRÓNICO</w:t>
      </w:r>
      <w:bookmarkStart w:id="0" w:name="_GoBack"/>
      <w:bookmarkEnd w:id="0"/>
    </w:p>
    <w:sectPr w:rsidR="00B563E1" w:rsidRPr="00B563E1" w:rsidSect="00FA01A2">
      <w:type w:val="continuous"/>
      <w:pgSz w:w="12240" w:h="15840" w:code="1"/>
      <w:pgMar w:top="1418" w:right="1134" w:bottom="1418" w:left="1134" w:header="1418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 Lt Ex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AD"/>
    <w:rsid w:val="000E288F"/>
    <w:rsid w:val="00112DAD"/>
    <w:rsid w:val="001E7B83"/>
    <w:rsid w:val="0026296F"/>
    <w:rsid w:val="002B413A"/>
    <w:rsid w:val="003304C6"/>
    <w:rsid w:val="00371941"/>
    <w:rsid w:val="00465931"/>
    <w:rsid w:val="004B6E54"/>
    <w:rsid w:val="00645626"/>
    <w:rsid w:val="006D0ADD"/>
    <w:rsid w:val="00754B49"/>
    <w:rsid w:val="00792078"/>
    <w:rsid w:val="008927BA"/>
    <w:rsid w:val="009753DF"/>
    <w:rsid w:val="00994499"/>
    <w:rsid w:val="00A665DD"/>
    <w:rsid w:val="00B103D6"/>
    <w:rsid w:val="00B563E1"/>
    <w:rsid w:val="00C33B9A"/>
    <w:rsid w:val="00CE03DF"/>
    <w:rsid w:val="00DC01C2"/>
    <w:rsid w:val="00F478B8"/>
    <w:rsid w:val="00FA01A2"/>
    <w:rsid w:val="00FC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1344D"/>
  <w15:docId w15:val="{602524F7-1B7F-4A09-A247-386F9871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112D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12DA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12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112DA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112DAD"/>
    <w:rPr>
      <w:color w:val="0000FF"/>
      <w:u w:val="single"/>
    </w:rPr>
  </w:style>
  <w:style w:type="paragraph" w:styleId="Sinespaciado">
    <w:name w:val="No Spacing"/>
    <w:uiPriority w:val="1"/>
    <w:qFormat/>
    <w:rsid w:val="00B103D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47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7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7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3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1462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173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2323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8656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97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3129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2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161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3581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1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0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6954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6295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9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5126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135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4830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4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4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5330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3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1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f.gob.mx/nota_detalle.php?codigo=5342372&amp;fecha=28/04/2014" TargetMode="External"/><Relationship Id="rId4" Type="http://schemas.openxmlformats.org/officeDocument/2006/relationships/hyperlink" Target="http://www.dof.gob.mx/nota_detalle.php?codigo=5342372&amp;fecha=28/04/201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2915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MATERIALES IVONNE</cp:lastModifiedBy>
  <cp:revision>2</cp:revision>
  <cp:lastPrinted>2022-07-26T23:39:00Z</cp:lastPrinted>
  <dcterms:created xsi:type="dcterms:W3CDTF">2022-07-26T23:39:00Z</dcterms:created>
  <dcterms:modified xsi:type="dcterms:W3CDTF">2022-07-26T23:39:00Z</dcterms:modified>
</cp:coreProperties>
</file>